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04" w:rsidRDefault="00C67904"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b/>
        </w:rPr>
      </w:pPr>
    </w:p>
    <w:p w:rsidR="00C67904" w:rsidRDefault="00C67904"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b/>
        </w:rPr>
      </w:pPr>
    </w:p>
    <w:p w:rsidR="00F82770" w:rsidRPr="004F0977" w:rsidRDefault="00F82770" w:rsidP="00F82770">
      <w:pPr>
        <w:pStyle w:val="Header"/>
        <w:spacing w:after="960"/>
        <w:rPr>
          <w:sz w:val="36"/>
          <w:szCs w:val="36"/>
        </w:rPr>
      </w:pPr>
      <w:r w:rsidRPr="004F0977">
        <w:rPr>
          <w:noProof/>
          <w:sz w:val="36"/>
          <w:szCs w:val="36"/>
        </w:rPr>
        <w:drawing>
          <wp:anchor distT="0" distB="0" distL="114300" distR="114300" simplePos="0" relativeHeight="251659264" behindDoc="1" locked="0" layoutInCell="1" allowOverlap="1" wp14:anchorId="3615AF7E" wp14:editId="78FA52F5">
            <wp:simplePos x="0" y="0"/>
            <wp:positionH relativeFrom="column">
              <wp:posOffset>0</wp:posOffset>
            </wp:positionH>
            <wp:positionV relativeFrom="margin">
              <wp:posOffset>-228600</wp:posOffset>
            </wp:positionV>
            <wp:extent cx="987552" cy="987552"/>
            <wp:effectExtent l="0" t="0" r="3175" b="3175"/>
            <wp:wrapTight wrapText="right">
              <wp:wrapPolygon edited="0">
                <wp:start x="8751" y="0"/>
                <wp:lineTo x="5417" y="833"/>
                <wp:lineTo x="417" y="5001"/>
                <wp:lineTo x="0" y="8334"/>
                <wp:lineTo x="0" y="14585"/>
                <wp:lineTo x="4167" y="20003"/>
                <wp:lineTo x="7918" y="21253"/>
                <wp:lineTo x="8334" y="21253"/>
                <wp:lineTo x="12918" y="21253"/>
                <wp:lineTo x="13752" y="21253"/>
                <wp:lineTo x="17502" y="20003"/>
                <wp:lineTo x="21253" y="14585"/>
                <wp:lineTo x="21253" y="4584"/>
                <wp:lineTo x="15419" y="417"/>
                <wp:lineTo x="12085" y="0"/>
                <wp:lineTo x="87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7552" cy="987552"/>
                    </a:xfrm>
                    <a:prstGeom prst="rect">
                      <a:avLst/>
                    </a:prstGeom>
                  </pic:spPr>
                </pic:pic>
              </a:graphicData>
            </a:graphic>
            <wp14:sizeRelH relativeFrom="page">
              <wp14:pctWidth>0</wp14:pctWidth>
            </wp14:sizeRelH>
            <wp14:sizeRelV relativeFrom="page">
              <wp14:pctHeight>0</wp14:pctHeight>
            </wp14:sizeRelV>
          </wp:anchor>
        </w:drawing>
      </w:r>
      <w:r w:rsidRPr="004F0977">
        <w:rPr>
          <w:noProof/>
          <w:sz w:val="36"/>
          <w:szCs w:val="36"/>
        </w:rPr>
        <mc:AlternateContent>
          <mc:Choice Requires="wps">
            <w:drawing>
              <wp:anchor distT="0" distB="0" distL="114300" distR="114300" simplePos="0" relativeHeight="251660288" behindDoc="0" locked="0" layoutInCell="1" allowOverlap="1" wp14:anchorId="364D6735" wp14:editId="527D2CCD">
                <wp:simplePos x="0" y="0"/>
                <wp:positionH relativeFrom="column">
                  <wp:posOffset>4448175</wp:posOffset>
                </wp:positionH>
                <wp:positionV relativeFrom="paragraph">
                  <wp:posOffset>-297815</wp:posOffset>
                </wp:positionV>
                <wp:extent cx="182880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F82770" w:rsidRDefault="00F82770" w:rsidP="00F82770">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F82770" w:rsidRDefault="00F82770" w:rsidP="00F82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D6735" id="_x0000_t202" coordsize="21600,21600" o:spt="202" path="m,l,21600r21600,l21600,xe">
                <v:stroke joinstyle="miter"/>
                <v:path gradientshapeok="t" o:connecttype="rect"/>
              </v:shapetype>
              <v:shape id="Text Box 2" o:spid="_x0000_s1026" type="#_x0000_t202" style="position:absolute;margin-left:350.25pt;margin-top:-23.45pt;width:2in;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" filled="f" stroked="f">
                <v:textbox>
                  <w:txbxContent>
                    <w:p w:rsidR="00F82770" w:rsidRDefault="00F82770" w:rsidP="00F82770">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F82770" w:rsidRDefault="00F82770" w:rsidP="00F82770"/>
                  </w:txbxContent>
                </v:textbox>
              </v:shape>
            </w:pict>
          </mc:Fallback>
        </mc:AlternateContent>
      </w:r>
      <w:r w:rsidRPr="004F0977">
        <w:rPr>
          <w:noProof/>
          <w:sz w:val="36"/>
          <w:szCs w:val="36"/>
        </w:rPr>
        <mc:AlternateContent>
          <mc:Choice Requires="wps">
            <w:drawing>
              <wp:anchor distT="0" distB="0" distL="114300" distR="114300" simplePos="0" relativeHeight="251661312" behindDoc="0" locked="0" layoutInCell="1" allowOverlap="1" wp14:anchorId="272C986E" wp14:editId="74E07346">
                <wp:simplePos x="0" y="0"/>
                <wp:positionH relativeFrom="column">
                  <wp:posOffset>1085850</wp:posOffset>
                </wp:positionH>
                <wp:positionV relativeFrom="paragraph">
                  <wp:posOffset>241935</wp:posOffset>
                </wp:positionV>
                <wp:extent cx="4876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487680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6C0D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9.05pt" to="46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" strokecolor="#4472c4 [3208]" strokeweight="2.25pt">
                <v:stroke joinstyle="miter"/>
              </v:line>
            </w:pict>
          </mc:Fallback>
        </mc:AlternateContent>
      </w:r>
      <w:r w:rsidRPr="004F0977">
        <w:rPr>
          <w:sz w:val="36"/>
          <w:szCs w:val="36"/>
        </w:rPr>
        <w:t>Illinois Commerce Commission</w:t>
      </w:r>
    </w:p>
    <w:p w:rsidR="00F82770" w:rsidRPr="00D942DC" w:rsidRDefault="00F82770" w:rsidP="00F82770">
      <w:pPr>
        <w:tabs>
          <w:tab w:val="right" w:pos="9360"/>
        </w:tabs>
        <w:rPr>
          <w:rFonts w:asciiTheme="minorHAnsi" w:hAnsiTheme="minorHAnsi"/>
          <w:b/>
          <w:sz w:val="22"/>
          <w:szCs w:val="22"/>
        </w:rPr>
      </w:pPr>
      <w:r w:rsidRPr="00D942DC">
        <w:rPr>
          <w:rFonts w:asciiTheme="minorHAnsi" w:hAnsiTheme="minorHAnsi"/>
          <w:b/>
          <w:sz w:val="22"/>
          <w:szCs w:val="22"/>
        </w:rPr>
        <w:t>For Immediate Release</w:t>
      </w:r>
      <w:r w:rsidRPr="00D942DC">
        <w:rPr>
          <w:rFonts w:asciiTheme="minorHAnsi" w:hAnsiTheme="minorHAnsi"/>
          <w:b/>
          <w:sz w:val="22"/>
          <w:szCs w:val="22"/>
        </w:rPr>
        <w:tab/>
      </w:r>
      <w:r w:rsidRPr="00D942DC">
        <w:rPr>
          <w:rFonts w:asciiTheme="minorHAnsi" w:hAnsiTheme="minorHAnsi"/>
          <w:sz w:val="22"/>
          <w:szCs w:val="22"/>
        </w:rPr>
        <w:t xml:space="preserve">Kelly </w:t>
      </w:r>
      <w:proofErr w:type="spellStart"/>
      <w:r w:rsidR="00D942DC" w:rsidRPr="00D942DC">
        <w:rPr>
          <w:rFonts w:asciiTheme="minorHAnsi" w:hAnsiTheme="minorHAnsi"/>
          <w:sz w:val="22"/>
          <w:szCs w:val="22"/>
        </w:rPr>
        <w:t>Meisner</w:t>
      </w:r>
      <w:proofErr w:type="spellEnd"/>
      <w:r w:rsidR="00D942DC" w:rsidRPr="00D942DC">
        <w:rPr>
          <w:rFonts w:asciiTheme="minorHAnsi" w:hAnsiTheme="minorHAnsi"/>
          <w:sz w:val="22"/>
          <w:szCs w:val="22"/>
        </w:rPr>
        <w:t xml:space="preserve"> </w:t>
      </w:r>
      <w:proofErr w:type="spellStart"/>
      <w:r w:rsidRPr="00D942DC">
        <w:rPr>
          <w:rFonts w:asciiTheme="minorHAnsi" w:hAnsiTheme="minorHAnsi"/>
          <w:sz w:val="22"/>
          <w:szCs w:val="22"/>
        </w:rPr>
        <w:t>Klopp</w:t>
      </w:r>
      <w:proofErr w:type="spellEnd"/>
    </w:p>
    <w:p w:rsidR="00F82770" w:rsidRPr="00D942DC" w:rsidRDefault="00D942DC" w:rsidP="00F82770">
      <w:pPr>
        <w:tabs>
          <w:tab w:val="right" w:pos="9360"/>
        </w:tabs>
        <w:rPr>
          <w:rFonts w:asciiTheme="minorHAnsi" w:hAnsiTheme="minorHAnsi"/>
          <w:sz w:val="22"/>
          <w:szCs w:val="22"/>
        </w:rPr>
      </w:pPr>
      <w:r w:rsidRPr="00D942DC">
        <w:rPr>
          <w:rFonts w:asciiTheme="minorHAnsi" w:hAnsiTheme="minorHAnsi"/>
          <w:sz w:val="22"/>
          <w:szCs w:val="22"/>
        </w:rPr>
        <w:t xml:space="preserve">July </w:t>
      </w:r>
      <w:r w:rsidR="00FE453F">
        <w:rPr>
          <w:rFonts w:asciiTheme="minorHAnsi" w:hAnsiTheme="minorHAnsi"/>
          <w:sz w:val="22"/>
          <w:szCs w:val="22"/>
        </w:rPr>
        <w:t>2</w:t>
      </w:r>
      <w:bookmarkStart w:id="0" w:name="_GoBack"/>
      <w:bookmarkEnd w:id="0"/>
      <w:r w:rsidRPr="00D942DC">
        <w:rPr>
          <w:rFonts w:asciiTheme="minorHAnsi" w:hAnsiTheme="minorHAnsi"/>
          <w:sz w:val="22"/>
          <w:szCs w:val="22"/>
        </w:rPr>
        <w:t>, 2015</w:t>
      </w:r>
      <w:r w:rsidR="00F82770" w:rsidRPr="00D942DC">
        <w:rPr>
          <w:rFonts w:asciiTheme="minorHAnsi" w:hAnsiTheme="minorHAnsi"/>
          <w:sz w:val="22"/>
          <w:szCs w:val="22"/>
        </w:rPr>
        <w:tab/>
        <w:t>312-</w:t>
      </w:r>
      <w:r w:rsidR="00375903" w:rsidRPr="00D942DC">
        <w:rPr>
          <w:rFonts w:asciiTheme="minorHAnsi" w:hAnsiTheme="minorHAnsi"/>
          <w:sz w:val="22"/>
          <w:szCs w:val="22"/>
        </w:rPr>
        <w:t>814-2489</w:t>
      </w:r>
    </w:p>
    <w:p w:rsidR="00F82770" w:rsidRPr="00D942DC" w:rsidRDefault="00F82770" w:rsidP="00F82770">
      <w:pPr>
        <w:tabs>
          <w:tab w:val="right" w:pos="9360"/>
        </w:tabs>
        <w:rPr>
          <w:rFonts w:asciiTheme="minorHAnsi" w:hAnsiTheme="minorHAnsi"/>
          <w:sz w:val="22"/>
          <w:szCs w:val="22"/>
        </w:rPr>
      </w:pPr>
      <w:r w:rsidRPr="00D942DC">
        <w:rPr>
          <w:rFonts w:asciiTheme="minorHAnsi" w:hAnsiTheme="minorHAnsi"/>
          <w:sz w:val="22"/>
          <w:szCs w:val="22"/>
        </w:rPr>
        <w:tab/>
      </w:r>
      <w:hyperlink r:id="rId6" w:history="1">
        <w:r w:rsidRPr="00D942DC">
          <w:rPr>
            <w:rStyle w:val="Hyperlink"/>
            <w:rFonts w:asciiTheme="minorHAnsi" w:hAnsiTheme="minorHAnsi"/>
            <w:sz w:val="22"/>
            <w:szCs w:val="22"/>
          </w:rPr>
          <w:t>kklopp@icc.illinois.gov</w:t>
        </w:r>
      </w:hyperlink>
    </w:p>
    <w:p w:rsidR="00375903" w:rsidRPr="00D942DC" w:rsidRDefault="00375903" w:rsidP="00F827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color w:val="FF0000"/>
          <w:sz w:val="22"/>
          <w:szCs w:val="22"/>
        </w:rPr>
      </w:pPr>
    </w:p>
    <w:p w:rsidR="006A07C7" w:rsidRPr="00D942DC" w:rsidRDefault="006A07C7"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sz w:val="22"/>
          <w:szCs w:val="22"/>
        </w:rPr>
      </w:pPr>
    </w:p>
    <w:p w:rsidR="00021D75" w:rsidRPr="00D942DC"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sz w:val="22"/>
          <w:szCs w:val="22"/>
        </w:rPr>
      </w:pPr>
      <w:r w:rsidRPr="00D942DC">
        <w:rPr>
          <w:rFonts w:asciiTheme="minorHAnsi" w:hAnsiTheme="minorHAnsi"/>
          <w:b/>
          <w:sz w:val="22"/>
          <w:szCs w:val="22"/>
        </w:rPr>
        <w:t xml:space="preserve">Illinois Commerce Commission Approves </w:t>
      </w:r>
      <w:r w:rsidR="00D942DC" w:rsidRPr="00D942DC">
        <w:rPr>
          <w:rFonts w:asciiTheme="minorHAnsi" w:hAnsiTheme="minorHAnsi"/>
          <w:b/>
          <w:sz w:val="22"/>
          <w:szCs w:val="22"/>
        </w:rPr>
        <w:t>Bids for Solar Renewable Energy Credits (SRECs)</w:t>
      </w:r>
    </w:p>
    <w:p w:rsidR="00F82770" w:rsidRPr="00D942DC" w:rsidRDefault="00F82770" w:rsidP="00C67904">
      <w:pPr>
        <w:rPr>
          <w:rFonts w:asciiTheme="minorHAnsi" w:hAnsiTheme="minorHAnsi"/>
          <w:sz w:val="22"/>
          <w:szCs w:val="22"/>
        </w:rPr>
      </w:pPr>
    </w:p>
    <w:p w:rsidR="00D942DC" w:rsidRDefault="00021D75" w:rsidP="00D942DC">
      <w:pPr>
        <w:rPr>
          <w:rFonts w:asciiTheme="minorHAnsi" w:hAnsiTheme="minorHAnsi"/>
          <w:sz w:val="22"/>
          <w:szCs w:val="22"/>
        </w:rPr>
      </w:pPr>
      <w:r w:rsidRPr="00D942DC">
        <w:rPr>
          <w:rFonts w:asciiTheme="minorHAnsi" w:hAnsiTheme="minorHAnsi"/>
          <w:sz w:val="22"/>
          <w:szCs w:val="22"/>
        </w:rPr>
        <w:t xml:space="preserve">Chicago, IL – </w:t>
      </w:r>
      <w:r w:rsidR="00D942DC" w:rsidRPr="00D942DC">
        <w:rPr>
          <w:rFonts w:asciiTheme="minorHAnsi" w:hAnsiTheme="minorHAnsi"/>
          <w:sz w:val="22"/>
          <w:szCs w:val="22"/>
        </w:rPr>
        <w:t>The Illinois Commerce Commission has approved the winning bids for the sale of 37,082 solar renewable energy credits (SRECs) to the State of Illinois.  The bidding process, per the Illinois Power Agency Act (IPA Act), was monitored for the Commission by Boston Pacific Company.  The IPA will pay for the SRECs acquired through these procurement events by drawing approximately $5 million from the Illinois Power Agency Renewable Energy Resources Fund.</w:t>
      </w:r>
      <w:r w:rsidR="00D942DC">
        <w:rPr>
          <w:rFonts w:asciiTheme="minorHAnsi" w:hAnsiTheme="minorHAnsi"/>
          <w:sz w:val="22"/>
          <w:szCs w:val="22"/>
        </w:rPr>
        <w:t xml:space="preserve"> </w:t>
      </w:r>
      <w:r w:rsidR="00D942DC" w:rsidRPr="00D942DC">
        <w:rPr>
          <w:rFonts w:asciiTheme="minorHAnsi" w:hAnsiTheme="minorHAnsi"/>
          <w:sz w:val="22"/>
          <w:szCs w:val="22"/>
        </w:rPr>
        <w:t>The seven winning bidders are:</w:t>
      </w:r>
    </w:p>
    <w:p w:rsidR="00D942DC" w:rsidRPr="00D942DC" w:rsidRDefault="00D942DC" w:rsidP="00D942DC">
      <w:pPr>
        <w:rPr>
          <w:rFonts w:asciiTheme="minorHAnsi" w:hAnsiTheme="minorHAnsi"/>
          <w:sz w:val="22"/>
          <w:szCs w:val="22"/>
        </w:rPr>
      </w:pPr>
    </w:p>
    <w:p w:rsidR="00D942DC" w:rsidRPr="00D942DC" w:rsidRDefault="00FE453F" w:rsidP="00D942DC">
      <w:pPr>
        <w:ind w:left="720"/>
        <w:rPr>
          <w:rFonts w:asciiTheme="minorHAnsi" w:hAnsiTheme="minorHAnsi"/>
          <w:sz w:val="22"/>
          <w:szCs w:val="22"/>
        </w:rPr>
      </w:pPr>
      <w:hyperlink r:id="rId7" w:history="1">
        <w:r w:rsidR="00D942DC" w:rsidRPr="00CB1E36">
          <w:rPr>
            <w:rStyle w:val="Hyperlink"/>
            <w:rFonts w:asciiTheme="minorHAnsi" w:hAnsiTheme="minorHAnsi"/>
            <w:sz w:val="22"/>
            <w:szCs w:val="22"/>
          </w:rPr>
          <w:t>Carbon Solutions Group LLC</w:t>
        </w:r>
      </w:hyperlink>
    </w:p>
    <w:p w:rsidR="00D942DC" w:rsidRPr="00D942DC" w:rsidRDefault="00FE453F" w:rsidP="00D942DC">
      <w:pPr>
        <w:ind w:left="720"/>
        <w:rPr>
          <w:rFonts w:asciiTheme="minorHAnsi" w:hAnsiTheme="minorHAnsi"/>
          <w:sz w:val="22"/>
          <w:szCs w:val="22"/>
        </w:rPr>
      </w:pPr>
      <w:hyperlink r:id="rId8" w:history="1">
        <w:proofErr w:type="spellStart"/>
        <w:r w:rsidR="00D942DC" w:rsidRPr="00CB1E36">
          <w:rPr>
            <w:rStyle w:val="Hyperlink"/>
            <w:rFonts w:asciiTheme="minorHAnsi" w:hAnsiTheme="minorHAnsi"/>
            <w:sz w:val="22"/>
            <w:szCs w:val="22"/>
          </w:rPr>
          <w:t>Microgrid</w:t>
        </w:r>
        <w:proofErr w:type="spellEnd"/>
        <w:r w:rsidR="00D942DC" w:rsidRPr="00CB1E36">
          <w:rPr>
            <w:rStyle w:val="Hyperlink"/>
            <w:rFonts w:asciiTheme="minorHAnsi" w:hAnsiTheme="minorHAnsi"/>
            <w:sz w:val="22"/>
            <w:szCs w:val="22"/>
          </w:rPr>
          <w:t xml:space="preserve"> Energy, LLC</w:t>
        </w:r>
      </w:hyperlink>
    </w:p>
    <w:p w:rsidR="00D942DC" w:rsidRPr="00D942DC" w:rsidRDefault="00FE453F" w:rsidP="00D942DC">
      <w:pPr>
        <w:ind w:left="720"/>
        <w:rPr>
          <w:rFonts w:asciiTheme="minorHAnsi" w:hAnsiTheme="minorHAnsi"/>
          <w:sz w:val="22"/>
          <w:szCs w:val="22"/>
        </w:rPr>
      </w:pPr>
      <w:hyperlink r:id="rId9" w:history="1">
        <w:r w:rsidR="00D942DC" w:rsidRPr="00CB1E36">
          <w:rPr>
            <w:rStyle w:val="Hyperlink"/>
            <w:rFonts w:asciiTheme="minorHAnsi" w:hAnsiTheme="minorHAnsi"/>
            <w:sz w:val="22"/>
            <w:szCs w:val="22"/>
          </w:rPr>
          <w:t>Sol Systems, LLC</w:t>
        </w:r>
      </w:hyperlink>
    </w:p>
    <w:p w:rsidR="00D942DC" w:rsidRPr="00D942DC" w:rsidRDefault="00FE453F" w:rsidP="00D942DC">
      <w:pPr>
        <w:ind w:left="720"/>
        <w:rPr>
          <w:rFonts w:asciiTheme="minorHAnsi" w:hAnsiTheme="minorHAnsi"/>
          <w:sz w:val="22"/>
          <w:szCs w:val="22"/>
        </w:rPr>
      </w:pPr>
      <w:hyperlink r:id="rId10" w:history="1">
        <w:proofErr w:type="spellStart"/>
        <w:r w:rsidR="00D942DC" w:rsidRPr="00CB1E36">
          <w:rPr>
            <w:rStyle w:val="Hyperlink"/>
            <w:rFonts w:asciiTheme="minorHAnsi" w:hAnsiTheme="minorHAnsi"/>
            <w:sz w:val="22"/>
            <w:szCs w:val="22"/>
          </w:rPr>
          <w:t>SRECTrade</w:t>
        </w:r>
        <w:proofErr w:type="spellEnd"/>
        <w:r w:rsidR="00D942DC" w:rsidRPr="00CB1E36">
          <w:rPr>
            <w:rStyle w:val="Hyperlink"/>
            <w:rFonts w:asciiTheme="minorHAnsi" w:hAnsiTheme="minorHAnsi"/>
            <w:sz w:val="22"/>
            <w:szCs w:val="22"/>
          </w:rPr>
          <w:t>, Inc.</w:t>
        </w:r>
      </w:hyperlink>
    </w:p>
    <w:p w:rsidR="00D942DC" w:rsidRPr="00D942DC" w:rsidRDefault="00FE453F" w:rsidP="00D942DC">
      <w:pPr>
        <w:ind w:left="720"/>
        <w:rPr>
          <w:rFonts w:asciiTheme="minorHAnsi" w:hAnsiTheme="minorHAnsi"/>
          <w:sz w:val="22"/>
          <w:szCs w:val="22"/>
        </w:rPr>
      </w:pPr>
      <w:hyperlink r:id="rId11" w:history="1">
        <w:r w:rsidR="00D942DC" w:rsidRPr="00CB1E36">
          <w:rPr>
            <w:rStyle w:val="Hyperlink"/>
            <w:rFonts w:asciiTheme="minorHAnsi" w:hAnsiTheme="minorHAnsi"/>
            <w:sz w:val="22"/>
            <w:szCs w:val="22"/>
          </w:rPr>
          <w:t>SunEdison Origination1, LLC</w:t>
        </w:r>
      </w:hyperlink>
    </w:p>
    <w:p w:rsidR="00D942DC" w:rsidRPr="00D942DC" w:rsidRDefault="00FE453F" w:rsidP="00D942DC">
      <w:pPr>
        <w:ind w:left="720"/>
        <w:rPr>
          <w:rFonts w:asciiTheme="minorHAnsi" w:hAnsiTheme="minorHAnsi"/>
          <w:sz w:val="22"/>
          <w:szCs w:val="22"/>
        </w:rPr>
      </w:pPr>
      <w:hyperlink r:id="rId12" w:history="1">
        <w:r w:rsidR="00D942DC" w:rsidRPr="00CB1E36">
          <w:rPr>
            <w:rStyle w:val="Hyperlink"/>
            <w:rFonts w:asciiTheme="minorHAnsi" w:hAnsiTheme="minorHAnsi"/>
            <w:sz w:val="22"/>
            <w:szCs w:val="22"/>
          </w:rPr>
          <w:t>VGI Energy Solutions, LLC</w:t>
        </w:r>
      </w:hyperlink>
    </w:p>
    <w:p w:rsidR="00D942DC" w:rsidRPr="00D942DC" w:rsidRDefault="00FE453F" w:rsidP="00D942DC">
      <w:pPr>
        <w:ind w:left="720"/>
        <w:rPr>
          <w:rFonts w:asciiTheme="minorHAnsi" w:hAnsiTheme="minorHAnsi"/>
          <w:sz w:val="22"/>
          <w:szCs w:val="22"/>
        </w:rPr>
      </w:pPr>
      <w:hyperlink r:id="rId13" w:history="1">
        <w:r w:rsidR="00D942DC" w:rsidRPr="00CB1E36">
          <w:rPr>
            <w:rStyle w:val="Hyperlink"/>
            <w:rFonts w:asciiTheme="minorHAnsi" w:hAnsiTheme="minorHAnsi"/>
            <w:sz w:val="22"/>
            <w:szCs w:val="22"/>
          </w:rPr>
          <w:t>WCP Solar Services, LLC</w:t>
        </w:r>
      </w:hyperlink>
    </w:p>
    <w:p w:rsidR="00D942DC" w:rsidRPr="00D942DC" w:rsidRDefault="00D942DC" w:rsidP="00D942DC">
      <w:pPr>
        <w:rPr>
          <w:rFonts w:asciiTheme="minorHAnsi" w:hAnsiTheme="minorHAnsi"/>
          <w:sz w:val="22"/>
          <w:szCs w:val="22"/>
        </w:rPr>
      </w:pPr>
    </w:p>
    <w:p w:rsidR="00D942DC" w:rsidRPr="00D942DC" w:rsidRDefault="00D942DC" w:rsidP="00D942DC">
      <w:pPr>
        <w:rPr>
          <w:rFonts w:asciiTheme="minorHAnsi" w:hAnsiTheme="minorHAnsi"/>
          <w:sz w:val="22"/>
          <w:szCs w:val="22"/>
        </w:rPr>
      </w:pPr>
      <w:r w:rsidRPr="00D942DC">
        <w:rPr>
          <w:rFonts w:asciiTheme="minorHAnsi" w:hAnsiTheme="minorHAnsi"/>
          <w:sz w:val="22"/>
          <w:szCs w:val="22"/>
        </w:rPr>
        <w:t xml:space="preserve">These seven winning suppliers will be paid, on average, $134.84 per </w:t>
      </w:r>
      <w:proofErr w:type="spellStart"/>
      <w:r w:rsidRPr="00D942DC">
        <w:rPr>
          <w:rFonts w:asciiTheme="minorHAnsi" w:hAnsiTheme="minorHAnsi"/>
          <w:sz w:val="22"/>
          <w:szCs w:val="22"/>
        </w:rPr>
        <w:t>mWh</w:t>
      </w:r>
      <w:proofErr w:type="spellEnd"/>
      <w:r w:rsidRPr="00D942DC">
        <w:rPr>
          <w:rFonts w:asciiTheme="minorHAnsi" w:hAnsiTheme="minorHAnsi"/>
          <w:sz w:val="22"/>
          <w:szCs w:val="22"/>
        </w:rPr>
        <w:t>, or 13.484 cents per kWh, as SRECs are delivered. This price represents payment for the SREC, and not for the electricity itself.  All contracts have a term of five years and are defined by the size of the systems associated with the SRECs</w:t>
      </w:r>
      <w:r w:rsidR="00C91CF8">
        <w:rPr>
          <w:rFonts w:asciiTheme="minorHAnsi" w:hAnsiTheme="minorHAnsi"/>
          <w:sz w:val="22"/>
          <w:szCs w:val="22"/>
        </w:rPr>
        <w:t>.</w:t>
      </w:r>
      <w:r w:rsidRPr="00D942DC">
        <w:rPr>
          <w:rFonts w:asciiTheme="minorHAnsi" w:hAnsiTheme="minorHAnsi"/>
          <w:sz w:val="22"/>
          <w:szCs w:val="22"/>
        </w:rPr>
        <w:t xml:space="preserve"> </w:t>
      </w:r>
    </w:p>
    <w:p w:rsidR="00D942DC" w:rsidRPr="00D942DC" w:rsidRDefault="00D942DC" w:rsidP="00D942DC">
      <w:pPr>
        <w:rPr>
          <w:rFonts w:asciiTheme="minorHAnsi" w:hAnsiTheme="minorHAnsi"/>
          <w:sz w:val="22"/>
          <w:szCs w:val="22"/>
        </w:rPr>
      </w:pPr>
    </w:p>
    <w:p w:rsidR="00D942DC" w:rsidRPr="00D942DC" w:rsidRDefault="00FE453F" w:rsidP="00D942DC">
      <w:pPr>
        <w:rPr>
          <w:rFonts w:asciiTheme="minorHAnsi" w:hAnsiTheme="minorHAnsi"/>
          <w:sz w:val="22"/>
          <w:szCs w:val="22"/>
        </w:rPr>
      </w:pPr>
      <w:hyperlink r:id="rId14" w:history="1">
        <w:r w:rsidR="00D942DC" w:rsidRPr="00D942DC">
          <w:rPr>
            <w:rStyle w:val="Hyperlink"/>
            <w:rFonts w:asciiTheme="minorHAnsi" w:hAnsiTheme="minorHAnsi"/>
            <w:sz w:val="22"/>
            <w:szCs w:val="22"/>
          </w:rPr>
          <w:t>The Supplemental Photovoltaic Procurement Plan</w:t>
        </w:r>
      </w:hyperlink>
      <w:r w:rsidR="00D942DC" w:rsidRPr="00D942DC">
        <w:rPr>
          <w:rFonts w:asciiTheme="minorHAnsi" w:hAnsiTheme="minorHAnsi"/>
          <w:sz w:val="22"/>
          <w:szCs w:val="22"/>
        </w:rPr>
        <w:t xml:space="preserve"> calls for at least three and at most four procurement events, with a cumulative expenditure of $30 million, for SRECs derived from three size categories of solar photovoltaic generating systems (under 25 kW, 25 to 500 kW, and 500 kW to 2 MW):</w:t>
      </w:r>
    </w:p>
    <w:p w:rsidR="00D942DC" w:rsidRPr="00D942DC" w:rsidRDefault="00D942DC" w:rsidP="00D942DC">
      <w:pPr>
        <w:rPr>
          <w:rFonts w:asciiTheme="minorHAnsi" w:hAnsiTheme="minorHAnsi"/>
          <w:sz w:val="22"/>
          <w:szCs w:val="22"/>
        </w:rPr>
      </w:pPr>
    </w:p>
    <w:p w:rsidR="00D942DC" w:rsidRPr="00C91CF8" w:rsidRDefault="00D942DC" w:rsidP="00C91CF8">
      <w:pPr>
        <w:pStyle w:val="ListParagraph"/>
        <w:numPr>
          <w:ilvl w:val="0"/>
          <w:numId w:val="4"/>
        </w:numPr>
        <w:rPr>
          <w:rFonts w:asciiTheme="minorHAnsi" w:hAnsiTheme="minorHAnsi"/>
          <w:sz w:val="22"/>
          <w:szCs w:val="22"/>
        </w:rPr>
      </w:pPr>
      <w:r w:rsidRPr="00C91CF8">
        <w:rPr>
          <w:rFonts w:asciiTheme="minorHAnsi" w:hAnsiTheme="minorHAnsi"/>
          <w:sz w:val="22"/>
          <w:szCs w:val="22"/>
        </w:rPr>
        <w:t>June 2015 ($5 million; 5,000 SREC maximum bid size for bids in the under 25 kW size category, and 500 kW maximum system size for the 25 kW and above size category).</w:t>
      </w:r>
    </w:p>
    <w:p w:rsidR="00D942DC" w:rsidRPr="00C91CF8" w:rsidRDefault="00D942DC" w:rsidP="00C91CF8">
      <w:pPr>
        <w:pStyle w:val="ListParagraph"/>
        <w:numPr>
          <w:ilvl w:val="0"/>
          <w:numId w:val="4"/>
        </w:numPr>
        <w:rPr>
          <w:rFonts w:asciiTheme="minorHAnsi" w:hAnsiTheme="minorHAnsi"/>
          <w:sz w:val="22"/>
          <w:szCs w:val="22"/>
        </w:rPr>
      </w:pPr>
      <w:r w:rsidRPr="00C91CF8">
        <w:rPr>
          <w:rFonts w:asciiTheme="minorHAnsi" w:hAnsiTheme="minorHAnsi"/>
          <w:sz w:val="22"/>
          <w:szCs w:val="22"/>
        </w:rPr>
        <w:t>November 2015 ($10 million; no maximum bid size for bids in the under 25 kW size category, and 2 MW maximum system size for the 25 kW and above category).</w:t>
      </w:r>
    </w:p>
    <w:p w:rsidR="00D942DC" w:rsidRPr="00C91CF8" w:rsidRDefault="00D942DC" w:rsidP="00C91CF8">
      <w:pPr>
        <w:pStyle w:val="ListParagraph"/>
        <w:numPr>
          <w:ilvl w:val="0"/>
          <w:numId w:val="4"/>
        </w:numPr>
        <w:rPr>
          <w:rFonts w:asciiTheme="minorHAnsi" w:hAnsiTheme="minorHAnsi"/>
          <w:sz w:val="22"/>
          <w:szCs w:val="22"/>
        </w:rPr>
      </w:pPr>
      <w:r w:rsidRPr="00C91CF8">
        <w:rPr>
          <w:rFonts w:asciiTheme="minorHAnsi" w:hAnsiTheme="minorHAnsi"/>
          <w:sz w:val="22"/>
          <w:szCs w:val="22"/>
        </w:rPr>
        <w:t>March 2016 ($15 million; no maximum bid size for bids in the under 25 kW category, and 2 MW maximum system size for the 25 kW and above category).</w:t>
      </w:r>
    </w:p>
    <w:p w:rsidR="00D942DC" w:rsidRPr="00C91CF8" w:rsidRDefault="00D942DC" w:rsidP="00C91CF8">
      <w:pPr>
        <w:pStyle w:val="ListParagraph"/>
        <w:numPr>
          <w:ilvl w:val="0"/>
          <w:numId w:val="4"/>
        </w:numPr>
        <w:rPr>
          <w:rFonts w:asciiTheme="minorHAnsi" w:hAnsiTheme="minorHAnsi"/>
          <w:sz w:val="22"/>
          <w:szCs w:val="22"/>
        </w:rPr>
      </w:pPr>
      <w:r w:rsidRPr="00C91CF8">
        <w:rPr>
          <w:rFonts w:asciiTheme="minorHAnsi" w:hAnsiTheme="minorHAnsi"/>
          <w:sz w:val="22"/>
          <w:szCs w:val="22"/>
        </w:rPr>
        <w:t>Early 2017 (Contingency Event; balance of available funds, possible limitation on categories of systems that may participate).</w:t>
      </w:r>
    </w:p>
    <w:p w:rsidR="00D942DC" w:rsidRDefault="00D942DC" w:rsidP="00D942DC">
      <w:pPr>
        <w:rPr>
          <w:rFonts w:asciiTheme="minorHAnsi" w:hAnsiTheme="minorHAnsi"/>
          <w:sz w:val="22"/>
          <w:szCs w:val="22"/>
        </w:rPr>
      </w:pPr>
    </w:p>
    <w:p w:rsidR="00D942DC" w:rsidRPr="00D942DC" w:rsidRDefault="00D942DC" w:rsidP="00D942DC">
      <w:pPr>
        <w:rPr>
          <w:rFonts w:asciiTheme="minorHAnsi" w:hAnsiTheme="minorHAnsi"/>
          <w:sz w:val="22"/>
          <w:szCs w:val="22"/>
        </w:rPr>
      </w:pPr>
      <w:r w:rsidRPr="00D942DC">
        <w:rPr>
          <w:rFonts w:asciiTheme="minorHAnsi" w:hAnsiTheme="minorHAnsi"/>
          <w:sz w:val="22"/>
          <w:szCs w:val="22"/>
        </w:rPr>
        <w:t xml:space="preserve">For more information, please consult </w:t>
      </w:r>
      <w:r>
        <w:rPr>
          <w:rFonts w:asciiTheme="minorHAnsi" w:hAnsiTheme="minorHAnsi"/>
          <w:sz w:val="22"/>
          <w:szCs w:val="22"/>
        </w:rPr>
        <w:t xml:space="preserve">ICC </w:t>
      </w:r>
      <w:r w:rsidRPr="00D942DC">
        <w:rPr>
          <w:rFonts w:asciiTheme="minorHAnsi" w:hAnsiTheme="minorHAnsi"/>
          <w:sz w:val="22"/>
          <w:szCs w:val="22"/>
        </w:rPr>
        <w:t xml:space="preserve">docket No. 14-0651 at </w:t>
      </w:r>
      <w:hyperlink r:id="rId15" w:history="1">
        <w:r w:rsidRPr="00D942DC">
          <w:rPr>
            <w:rStyle w:val="Hyperlink"/>
            <w:rFonts w:asciiTheme="minorHAnsi" w:hAnsiTheme="minorHAnsi"/>
            <w:sz w:val="22"/>
            <w:szCs w:val="22"/>
          </w:rPr>
          <w:t>www.icc.illinois.gov</w:t>
        </w:r>
      </w:hyperlink>
      <w:r>
        <w:rPr>
          <w:rStyle w:val="Hyperlink"/>
          <w:rFonts w:asciiTheme="minorHAnsi" w:hAnsiTheme="minorHAnsi"/>
          <w:sz w:val="22"/>
          <w:szCs w:val="22"/>
        </w:rPr>
        <w:t>.</w:t>
      </w:r>
      <w:r w:rsidRPr="00D942DC">
        <w:rPr>
          <w:rFonts w:asciiTheme="minorHAnsi" w:hAnsiTheme="minorHAnsi"/>
          <w:sz w:val="22"/>
          <w:szCs w:val="22"/>
        </w:rPr>
        <w:t xml:space="preserve"> </w:t>
      </w:r>
    </w:p>
    <w:p w:rsidR="00D942DC" w:rsidRPr="00D942DC" w:rsidRDefault="00D942DC" w:rsidP="00D942DC">
      <w:pPr>
        <w:rPr>
          <w:rFonts w:asciiTheme="minorHAnsi" w:hAnsiTheme="minorHAnsi"/>
          <w:sz w:val="22"/>
          <w:szCs w:val="22"/>
        </w:rPr>
      </w:pPr>
    </w:p>
    <w:p w:rsidR="00021D75" w:rsidRPr="00D942DC" w:rsidRDefault="00021D75" w:rsidP="00D942DC">
      <w:pPr>
        <w:rPr>
          <w:rFonts w:asciiTheme="minorHAnsi" w:hAnsiTheme="minorHAnsi"/>
          <w:sz w:val="22"/>
          <w:szCs w:val="22"/>
        </w:rPr>
      </w:pPr>
    </w:p>
    <w:p w:rsidR="00021D75" w:rsidRPr="00D942DC" w:rsidRDefault="00021D75" w:rsidP="002C46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sz w:val="22"/>
          <w:szCs w:val="22"/>
        </w:rPr>
      </w:pPr>
      <w:r w:rsidRPr="00D942DC">
        <w:rPr>
          <w:rFonts w:asciiTheme="minorHAnsi" w:hAnsiTheme="minorHAnsi"/>
          <w:sz w:val="22"/>
          <w:szCs w:val="22"/>
        </w:rPr>
        <w:t>###</w:t>
      </w:r>
    </w:p>
    <w:p w:rsidR="00021D75" w:rsidRPr="00D942DC"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b/>
          <w:i/>
          <w:sz w:val="22"/>
          <w:szCs w:val="22"/>
        </w:rPr>
      </w:pPr>
    </w:p>
    <w:p w:rsidR="00021D75" w:rsidRPr="00D942DC"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b/>
          <w:i/>
          <w:sz w:val="22"/>
          <w:szCs w:val="22"/>
        </w:rPr>
      </w:pPr>
    </w:p>
    <w:p w:rsidR="00375903" w:rsidRPr="00D942DC" w:rsidRDefault="00375903">
      <w:pPr>
        <w:spacing w:after="160" w:line="259" w:lineRule="auto"/>
        <w:rPr>
          <w:rFonts w:asciiTheme="minorHAnsi" w:hAnsiTheme="minorHAnsi"/>
          <w:b/>
          <w:i/>
          <w:sz w:val="22"/>
          <w:szCs w:val="22"/>
        </w:rPr>
      </w:pPr>
    </w:p>
    <w:p w:rsidR="00021D75" w:rsidRPr="00D942DC"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b/>
          <w:i/>
          <w:sz w:val="22"/>
          <w:szCs w:val="22"/>
        </w:rPr>
      </w:pPr>
      <w:r w:rsidRPr="00D942DC">
        <w:rPr>
          <w:rFonts w:asciiTheme="minorHAnsi" w:hAnsiTheme="minorHAnsi"/>
          <w:b/>
          <w:i/>
          <w:sz w:val="22"/>
          <w:szCs w:val="22"/>
        </w:rPr>
        <w:t>About the Illinois Commerce Commission</w:t>
      </w:r>
    </w:p>
    <w:p w:rsidR="00021D75" w:rsidRPr="00D942DC"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sidRPr="00D942DC">
        <w:rPr>
          <w:rFonts w:asciiTheme="minorHAnsi" w:hAnsiTheme="minorHAnsi"/>
          <w:sz w:val="22"/>
          <w:szCs w:val="22"/>
        </w:rPr>
        <w:t xml:space="preserve">The Illinois Commerce Commission’s mission is to pursue an appropriate balance between the interests of consumers and existing and emerging service providers to ensure the provision of adequate, efficient, reliable, safe and least-cost public utility services.  The Commission pursues this mission through three bureaus:  the Consumer Services Bureau provides educational information on utility issues, resolves customer/utility disputes and develops rules on utility service and consumer protection; the Public Utility Bureau focuses on financial and operational analysis, policy development, public safety and enforcement activities related to electric, natural gas, water, sewer and telecommunications companies; the Transportation Bureau includes trucking insurance and registration, railroad safety, relocation towing, safety towing and household goods moving company enforcement activities.  The ICC’s five commissioners are appointed by the Governor and approved by the Illinois State Senate for five-year terms.  </w:t>
      </w:r>
    </w:p>
    <w:p w:rsidR="00466549" w:rsidRPr="00D942DC" w:rsidRDefault="00466549">
      <w:pPr>
        <w:rPr>
          <w:rFonts w:asciiTheme="minorHAnsi" w:hAnsiTheme="minorHAnsi"/>
          <w:sz w:val="22"/>
          <w:szCs w:val="22"/>
        </w:rPr>
      </w:pPr>
    </w:p>
    <w:sectPr w:rsidR="00466549" w:rsidRPr="00D94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CA9"/>
    <w:multiLevelType w:val="hybridMultilevel"/>
    <w:tmpl w:val="E2B00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43477"/>
    <w:multiLevelType w:val="hybridMultilevel"/>
    <w:tmpl w:val="D45671EE"/>
    <w:lvl w:ilvl="0" w:tplc="9004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27170"/>
    <w:multiLevelType w:val="hybridMultilevel"/>
    <w:tmpl w:val="3FA27A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75"/>
    <w:rsid w:val="00021D75"/>
    <w:rsid w:val="00031BA1"/>
    <w:rsid w:val="000A7170"/>
    <w:rsid w:val="000C309B"/>
    <w:rsid w:val="00165EEE"/>
    <w:rsid w:val="00192149"/>
    <w:rsid w:val="001C1F7A"/>
    <w:rsid w:val="001F5C2C"/>
    <w:rsid w:val="00293C3C"/>
    <w:rsid w:val="002C464D"/>
    <w:rsid w:val="002C7DF1"/>
    <w:rsid w:val="00334320"/>
    <w:rsid w:val="00375903"/>
    <w:rsid w:val="003E398E"/>
    <w:rsid w:val="003F3799"/>
    <w:rsid w:val="00466549"/>
    <w:rsid w:val="00507FC4"/>
    <w:rsid w:val="00590976"/>
    <w:rsid w:val="006A07C7"/>
    <w:rsid w:val="00786FC7"/>
    <w:rsid w:val="00C67904"/>
    <w:rsid w:val="00C91CF8"/>
    <w:rsid w:val="00CB1E36"/>
    <w:rsid w:val="00D942DC"/>
    <w:rsid w:val="00F174DD"/>
    <w:rsid w:val="00F82770"/>
    <w:rsid w:val="00FB66DC"/>
    <w:rsid w:val="00FE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DF6B-8A3A-4BC4-91A3-E72E4E61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D75"/>
    <w:rPr>
      <w:color w:val="0000FF"/>
      <w:u w:val="single"/>
    </w:rPr>
  </w:style>
  <w:style w:type="character" w:styleId="Strong">
    <w:name w:val="Strong"/>
    <w:uiPriority w:val="22"/>
    <w:qFormat/>
    <w:rsid w:val="00021D75"/>
    <w:rPr>
      <w:b/>
      <w:bCs/>
    </w:rPr>
  </w:style>
  <w:style w:type="paragraph" w:styleId="BalloonText">
    <w:name w:val="Balloon Text"/>
    <w:basedOn w:val="Normal"/>
    <w:link w:val="BalloonTextChar"/>
    <w:uiPriority w:val="99"/>
    <w:semiHidden/>
    <w:unhideWhenUsed/>
    <w:rsid w:val="00031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A1"/>
    <w:rPr>
      <w:rFonts w:ascii="Segoe UI" w:eastAsia="Times New Roman" w:hAnsi="Segoe UI" w:cs="Segoe UI"/>
      <w:sz w:val="18"/>
      <w:szCs w:val="18"/>
    </w:rPr>
  </w:style>
  <w:style w:type="paragraph" w:styleId="Header">
    <w:name w:val="header"/>
    <w:basedOn w:val="Normal"/>
    <w:link w:val="HeaderChar"/>
    <w:uiPriority w:val="99"/>
    <w:unhideWhenUsed/>
    <w:rsid w:val="00F827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2770"/>
  </w:style>
  <w:style w:type="character" w:styleId="FollowedHyperlink">
    <w:name w:val="FollowedHyperlink"/>
    <w:basedOn w:val="DefaultParagraphFont"/>
    <w:uiPriority w:val="99"/>
    <w:semiHidden/>
    <w:unhideWhenUsed/>
    <w:rsid w:val="00C91CF8"/>
    <w:rPr>
      <w:color w:val="954F72" w:themeColor="followedHyperlink"/>
      <w:u w:val="single"/>
    </w:rPr>
  </w:style>
  <w:style w:type="paragraph" w:styleId="ListParagraph">
    <w:name w:val="List Paragraph"/>
    <w:basedOn w:val="Normal"/>
    <w:uiPriority w:val="34"/>
    <w:qFormat/>
    <w:rsid w:val="00C9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42653">
      <w:bodyDiv w:val="1"/>
      <w:marLeft w:val="0"/>
      <w:marRight w:val="0"/>
      <w:marTop w:val="0"/>
      <w:marBottom w:val="0"/>
      <w:divBdr>
        <w:top w:val="none" w:sz="0" w:space="0" w:color="auto"/>
        <w:left w:val="none" w:sz="0" w:space="0" w:color="auto"/>
        <w:bottom w:val="none" w:sz="0" w:space="0" w:color="auto"/>
        <w:right w:val="none" w:sz="0" w:space="0" w:color="auto"/>
      </w:divBdr>
    </w:div>
    <w:div w:id="1413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gridenergy.com/" TargetMode="External"/><Relationship Id="rId13" Type="http://schemas.openxmlformats.org/officeDocument/2006/relationships/hyperlink" Target="http://www.wcpsolar.com/" TargetMode="External"/><Relationship Id="rId3" Type="http://schemas.openxmlformats.org/officeDocument/2006/relationships/settings" Target="settings.xml"/><Relationship Id="rId7" Type="http://schemas.openxmlformats.org/officeDocument/2006/relationships/hyperlink" Target="http://www.carbonsolutionsgroup.com/" TargetMode="External"/><Relationship Id="rId12" Type="http://schemas.openxmlformats.org/officeDocument/2006/relationships/hyperlink" Target="http://vlvdevelopmen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klopp@icc.illinois.gov" TargetMode="External"/><Relationship Id="rId11" Type="http://schemas.openxmlformats.org/officeDocument/2006/relationships/hyperlink" Target="http://www.sunedison.com/" TargetMode="External"/><Relationship Id="rId5" Type="http://schemas.openxmlformats.org/officeDocument/2006/relationships/image" Target="media/image1.png"/><Relationship Id="rId15" Type="http://schemas.openxmlformats.org/officeDocument/2006/relationships/hyperlink" Target="http://www.icc.illinois.gov" TargetMode="External"/><Relationship Id="rId10" Type="http://schemas.openxmlformats.org/officeDocument/2006/relationships/hyperlink" Target="http://www.srectrade.com/" TargetMode="External"/><Relationship Id="rId4" Type="http://schemas.openxmlformats.org/officeDocument/2006/relationships/webSettings" Target="webSettings.xml"/><Relationship Id="rId9" Type="http://schemas.openxmlformats.org/officeDocument/2006/relationships/hyperlink" Target="http://www.solsystems.org/" TargetMode="External"/><Relationship Id="rId14" Type="http://schemas.openxmlformats.org/officeDocument/2006/relationships/hyperlink" Target="http://www.illinois.gov/ipa/Documents/Supplemental-Procurement-Plan-fi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Illinois Commerce Commission</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Harvell, Diane</dc:creator>
  <cp:keywords/>
  <dc:description/>
  <cp:lastModifiedBy>Klopp, Kelly</cp:lastModifiedBy>
  <cp:revision>3</cp:revision>
  <cp:lastPrinted>2015-07-01T18:27:00Z</cp:lastPrinted>
  <dcterms:created xsi:type="dcterms:W3CDTF">2015-07-01T18:30:00Z</dcterms:created>
  <dcterms:modified xsi:type="dcterms:W3CDTF">2015-07-02T13:18:00Z</dcterms:modified>
</cp:coreProperties>
</file>